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4BCD" w14:textId="77777777" w:rsidR="00002B88" w:rsidRPr="000E2DA1" w:rsidRDefault="00002B88">
      <w:pPr>
        <w:pStyle w:val="Corpotesto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093"/>
      </w:tblGrid>
      <w:tr w:rsidR="00002B88" w:rsidRPr="000E2DA1" w14:paraId="14D52996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B0CE17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Impresa</w:t>
            </w:r>
            <w:r w:rsidRPr="00EC2B6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individuale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DF177B" w14:textId="77777777" w:rsidR="00002B88" w:rsidRPr="00EC2B6A" w:rsidRDefault="00DE2C67" w:rsidP="00E100F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left="340" w:hanging="340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Titolare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dell’impresa</w:t>
            </w:r>
          </w:p>
          <w:p w14:paraId="01949C55" w14:textId="77777777" w:rsidR="00002B88" w:rsidRPr="00EC2B6A" w:rsidRDefault="00DE2C67" w:rsidP="00E100F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left="340" w:hanging="340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3D3E29C4" w14:textId="77777777" w:rsidR="00002B88" w:rsidRPr="00EC2B6A" w:rsidRDefault="00DE2C67" w:rsidP="00E100F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left="340" w:hanging="340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02B88" w:rsidRPr="000E2DA1" w14:paraId="62D7DBB3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A91537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Associazioni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FC1E4" w14:textId="77777777" w:rsidR="00002B88" w:rsidRPr="00EC2B6A" w:rsidRDefault="00DE2C67" w:rsidP="00E100F8">
            <w:pPr>
              <w:pStyle w:val="TableParagraph"/>
              <w:numPr>
                <w:ilvl w:val="0"/>
                <w:numId w:val="10"/>
              </w:numPr>
              <w:tabs>
                <w:tab w:val="left" w:pos="850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Legali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rappresentanti</w:t>
            </w:r>
          </w:p>
          <w:p w14:paraId="68DDF24F" w14:textId="77777777" w:rsidR="00002B88" w:rsidRPr="00EC2B6A" w:rsidRDefault="00DE2C67" w:rsidP="00E100F8">
            <w:pPr>
              <w:pStyle w:val="TableParagraph"/>
              <w:numPr>
                <w:ilvl w:val="0"/>
                <w:numId w:val="10"/>
              </w:numPr>
              <w:tabs>
                <w:tab w:val="left" w:pos="850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 del collegio dei revisori dei conti o sindacale (se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</w:t>
            </w:r>
          </w:p>
          <w:p w14:paraId="25A5C088" w14:textId="77777777" w:rsidR="00002B88" w:rsidRPr="00EC2B6A" w:rsidRDefault="00DE2C67" w:rsidP="00E100F8">
            <w:pPr>
              <w:pStyle w:val="TableParagraph"/>
              <w:numPr>
                <w:ilvl w:val="0"/>
                <w:numId w:val="10"/>
              </w:numPr>
              <w:tabs>
                <w:tab w:val="left" w:pos="850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al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</w:t>
            </w:r>
            <w:r w:rsidRPr="00EC2B6A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02B88" w:rsidRPr="000E2DA1" w14:paraId="29ACC518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144802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</w:t>
            </w:r>
            <w:r w:rsidRPr="00EC2B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di</w:t>
            </w:r>
            <w:r w:rsidRPr="00EC2B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capitali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o</w:t>
            </w:r>
            <w:r w:rsidRPr="00EC2B6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cooperative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B305F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Legale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rappresentante</w:t>
            </w:r>
          </w:p>
          <w:p w14:paraId="1D1B7678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Amministratori</w:t>
            </w:r>
          </w:p>
          <w:p w14:paraId="419C97C9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2F77CAB8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</w:p>
          <w:p w14:paraId="21A8C060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socio di maggioranza (nelle società con un numero di soci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pari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o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inferiore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4)</w:t>
            </w:r>
          </w:p>
          <w:p w14:paraId="61E8D9F2" w14:textId="0DA1326C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socio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(in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caso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società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unipersonale)</w:t>
            </w:r>
          </w:p>
          <w:p w14:paraId="3CFE0629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 del collegio sindacale o, nei casi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contemplati dall’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art. 2477 del codice civile, al sindaco, nonché ai soggetti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che svolgono i compiti di vigilanza di cui all’art. 6, comma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lettera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b)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 D.Lgs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231/2001;</w:t>
            </w:r>
          </w:p>
          <w:p w14:paraId="783F2649" w14:textId="77777777" w:rsidR="00002B88" w:rsidRPr="00EC2B6A" w:rsidRDefault="00DE2C67" w:rsidP="00E100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1-2-3-4-5-6-7</w:t>
            </w:r>
          </w:p>
        </w:tc>
      </w:tr>
      <w:tr w:rsidR="00002B88" w:rsidRPr="000E2DA1" w14:paraId="78A8C570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1E5E2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</w:t>
            </w:r>
            <w:r w:rsidRPr="00EC2B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semplice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</w:t>
            </w:r>
            <w:r w:rsidRPr="00EC2B6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nome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collettivo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D09D6" w14:textId="77777777" w:rsidR="00002B88" w:rsidRPr="00EC2B6A" w:rsidRDefault="00DE2C67" w:rsidP="00E100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tutti i soci</w:t>
            </w:r>
          </w:p>
          <w:p w14:paraId="125F1E74" w14:textId="77777777" w:rsidR="00002B88" w:rsidRPr="00EC2B6A" w:rsidRDefault="00DE2C67" w:rsidP="00E100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661FF518" w14:textId="77777777" w:rsidR="00002B88" w:rsidRPr="00EC2B6A" w:rsidRDefault="00DE2C67" w:rsidP="00E100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</w:t>
            </w:r>
          </w:p>
          <w:p w14:paraId="730A9952" w14:textId="77777777" w:rsidR="00002B88" w:rsidRPr="00EC2B6A" w:rsidRDefault="00DE2C67" w:rsidP="00E100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1,2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02B88" w:rsidRPr="000E2DA1" w14:paraId="138AE7C5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B5431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</w:t>
            </w:r>
            <w:r w:rsidRPr="00EC2B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</w:t>
            </w:r>
            <w:r w:rsidRPr="00EC2B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accomandita</w:t>
            </w:r>
            <w:r w:rsidRPr="00EC2B6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semplice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C9DB68" w14:textId="77777777" w:rsidR="00002B88" w:rsidRPr="00EC2B6A" w:rsidRDefault="00DE2C67" w:rsidP="00E100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soci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accomandatari</w:t>
            </w:r>
          </w:p>
          <w:p w14:paraId="4AF2E525" w14:textId="77777777" w:rsidR="00002B88" w:rsidRPr="00EC2B6A" w:rsidRDefault="00DE2C67" w:rsidP="00E100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634D9767" w14:textId="77777777" w:rsidR="00002B88" w:rsidRPr="00EC2B6A" w:rsidRDefault="00DE2C67" w:rsidP="00E100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</w:t>
            </w:r>
          </w:p>
          <w:p w14:paraId="32B637E4" w14:textId="77777777" w:rsidR="00002B88" w:rsidRPr="00EC2B6A" w:rsidRDefault="00DE2C67" w:rsidP="00E100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1,2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02B88" w:rsidRPr="000E2DA1" w14:paraId="2B65C870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EA1E0C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 estere con sede secondaria in</w:t>
            </w:r>
            <w:r w:rsidRPr="00EC2B6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Italia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8F9603" w14:textId="77777777" w:rsidR="00002B88" w:rsidRPr="00EC2B6A" w:rsidRDefault="00DE2C67" w:rsidP="00E100F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coloro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che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le rappresentano stabilmente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in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Italia</w:t>
            </w:r>
          </w:p>
          <w:p w14:paraId="717AE141" w14:textId="77777777" w:rsidR="00002B88" w:rsidRPr="00EC2B6A" w:rsidRDefault="00DE2C67" w:rsidP="00E100F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122077AC" w14:textId="77777777" w:rsidR="00002B88" w:rsidRPr="00EC2B6A" w:rsidRDefault="00DE2C67" w:rsidP="00E100F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</w:t>
            </w:r>
          </w:p>
          <w:p w14:paraId="029BBB1C" w14:textId="77777777" w:rsidR="00002B88" w:rsidRPr="00EC2B6A" w:rsidRDefault="00DE2C67" w:rsidP="00E100F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1, 2</w:t>
            </w:r>
            <w:r w:rsidRPr="00EC2B6A">
              <w:rPr>
                <w:rFonts w:ascii="Times New Roman" w:hAnsi="Times New Roman" w:cs="Times New Roman"/>
                <w:bCs/>
                <w:spacing w:val="4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02B88" w:rsidRPr="000E2DA1" w14:paraId="04D06F62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72B0E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</w:t>
            </w:r>
            <w:r w:rsidRPr="00EC2B6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estere</w:t>
            </w:r>
            <w:r w:rsidRPr="00EC2B6A">
              <w:rPr>
                <w:rFonts w:ascii="Times New Roman" w:hAnsi="Times New Roman" w:cs="Times New Roman"/>
                <w:b/>
                <w:spacing w:val="5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prive</w:t>
            </w:r>
            <w:r w:rsidRPr="00EC2B6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di</w:t>
            </w:r>
            <w:r w:rsidRPr="00EC2B6A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sede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secondaria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con rappresentanza stabile</w:t>
            </w:r>
            <w:r w:rsidRPr="00EC2B6A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Italia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CBBC09" w14:textId="77777777" w:rsidR="00002B88" w:rsidRPr="00EC2B6A" w:rsidRDefault="00DE2C67" w:rsidP="00E100F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Coloro che esercitano poteri di amministrazione,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rappresentanza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direzione dell’impresa</w:t>
            </w:r>
          </w:p>
          <w:p w14:paraId="33F97A2A" w14:textId="77777777" w:rsidR="00002B88" w:rsidRPr="00EC2B6A" w:rsidRDefault="00DE2C67" w:rsidP="00E100F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al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punto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2B88" w:rsidRPr="000E2DA1" w14:paraId="39DD13AB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4DB913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 personali (oltre a quanto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espressamente previsto per le società</w:t>
            </w:r>
            <w:r w:rsidRPr="00EC2B6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 nome collettivo e accomandita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semplice)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C1E9C3" w14:textId="77777777" w:rsidR="00002B88" w:rsidRPr="00EC2B6A" w:rsidRDefault="00DE2C67" w:rsidP="00E100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Soci persone fisiche delle società personali o di capitali che</w:t>
            </w:r>
            <w:r w:rsidRPr="00EC2B6A">
              <w:rPr>
                <w:rFonts w:ascii="Times New Roman" w:hAnsi="Times New Roman" w:cs="Times New Roman"/>
                <w:bCs/>
                <w:spacing w:val="-48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sono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socie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della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società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personale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esaminata</w:t>
            </w:r>
          </w:p>
          <w:p w14:paraId="4D31D234" w14:textId="77777777" w:rsidR="00002B88" w:rsidRPr="00EC2B6A" w:rsidRDefault="00DE2C67" w:rsidP="00E100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0B59F22E" w14:textId="77777777" w:rsidR="00002B88" w:rsidRPr="00EC2B6A" w:rsidRDefault="00DE2C67" w:rsidP="00E100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</w:t>
            </w:r>
          </w:p>
          <w:p w14:paraId="14AC87A9" w14:textId="77777777" w:rsidR="00002B88" w:rsidRPr="00EC2B6A" w:rsidRDefault="00DE2C67" w:rsidP="00E100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1,2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02B88" w:rsidRPr="000E2DA1" w14:paraId="27681868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86694" w14:textId="77777777" w:rsidR="00002B88" w:rsidRPr="00EC2B6A" w:rsidRDefault="00DE2C67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Società di capitali anche consortili, per</w:t>
            </w:r>
            <w:r w:rsidRPr="00EC2B6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le società cooperative di consorzi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cooperativi, per i consorzi con attività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esterna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42558" w14:textId="77777777" w:rsidR="00002B88" w:rsidRPr="00EC2B6A" w:rsidRDefault="00DE2C67" w:rsidP="00E100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legale rappresentante</w:t>
            </w:r>
          </w:p>
          <w:p w14:paraId="2B6951E6" w14:textId="77777777" w:rsidR="00002B88" w:rsidRPr="00EC2B6A" w:rsidRDefault="00DE2C67" w:rsidP="00E100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componenti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organo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amministrazione</w:t>
            </w:r>
          </w:p>
          <w:p w14:paraId="0277AF7D" w14:textId="77777777" w:rsidR="00002B88" w:rsidRPr="00EC2B6A" w:rsidRDefault="00DE2C67" w:rsidP="00E100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4493FF9A" w14:textId="77777777" w:rsidR="00002B88" w:rsidRPr="00EC2B6A" w:rsidRDefault="00DE2C67" w:rsidP="00E100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</w:t>
            </w:r>
          </w:p>
          <w:p w14:paraId="120640CE" w14:textId="77777777" w:rsidR="00E100F8" w:rsidRPr="00EC2B6A" w:rsidRDefault="00DE2C67" w:rsidP="00E100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ciascuno dei consorziati che nei consorzi e nelle società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lastRenderedPageBreak/>
              <w:t>consortili detenga una partecipazione superiore al 10 per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cento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oppure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detenga una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partecipazione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inferiore al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10 per</w:t>
            </w:r>
            <w:r w:rsidR="00E100F8" w:rsidRPr="00EC2B6A">
              <w:rPr>
                <w:rFonts w:ascii="Times New Roman" w:hAnsi="Times New Roman" w:cs="Times New Roman"/>
                <w:bCs/>
              </w:rPr>
              <w:t xml:space="preserve"> cento e che abbia stipulato un patto parasociale riferibile a</w:t>
            </w:r>
            <w:r w:rsidR="00E100F8"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E100F8" w:rsidRPr="00EC2B6A">
              <w:rPr>
                <w:rFonts w:ascii="Times New Roman" w:hAnsi="Times New Roman" w:cs="Times New Roman"/>
                <w:bCs/>
              </w:rPr>
              <w:t>una partecipazione pari o superiore al 10 percento, ed</w:t>
            </w:r>
            <w:r w:rsidR="00E100F8"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E100F8" w:rsidRPr="00EC2B6A">
              <w:rPr>
                <w:rFonts w:ascii="Times New Roman" w:hAnsi="Times New Roman" w:cs="Times New Roman"/>
                <w:bCs/>
              </w:rPr>
              <w:t>ai soci</w:t>
            </w:r>
            <w:r w:rsidR="00E100F8"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="00E100F8" w:rsidRPr="00EC2B6A">
              <w:rPr>
                <w:rFonts w:ascii="Times New Roman" w:hAnsi="Times New Roman" w:cs="Times New Roman"/>
                <w:bCs/>
              </w:rPr>
              <w:t>o consorziati per conto dei quali le società consortili o i</w:t>
            </w:r>
            <w:r w:rsidR="00E100F8"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E100F8" w:rsidRPr="00EC2B6A">
              <w:rPr>
                <w:rFonts w:ascii="Times New Roman" w:hAnsi="Times New Roman" w:cs="Times New Roman"/>
                <w:bCs/>
              </w:rPr>
              <w:t>consorzi operino in modo esclusivo nei confronti della</w:t>
            </w:r>
            <w:r w:rsidR="00E100F8"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E100F8" w:rsidRPr="00EC2B6A">
              <w:rPr>
                <w:rFonts w:ascii="Times New Roman" w:hAnsi="Times New Roman" w:cs="Times New Roman"/>
                <w:bCs/>
              </w:rPr>
              <w:t>pubblica</w:t>
            </w:r>
            <w:r w:rsidR="00E100F8"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E100F8" w:rsidRPr="00EC2B6A">
              <w:rPr>
                <w:rFonts w:ascii="Times New Roman" w:hAnsi="Times New Roman" w:cs="Times New Roman"/>
                <w:bCs/>
              </w:rPr>
              <w:t>amministrazione;</w:t>
            </w:r>
          </w:p>
          <w:p w14:paraId="7CC18714" w14:textId="156875A3" w:rsidR="00002B88" w:rsidRPr="00EC2B6A" w:rsidRDefault="00E100F8" w:rsidP="00E100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familiari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 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1,2,3,4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5</w:t>
            </w:r>
          </w:p>
        </w:tc>
        <w:bookmarkStart w:id="0" w:name="_GoBack"/>
        <w:bookmarkEnd w:id="0"/>
      </w:tr>
      <w:tr w:rsidR="00E100F8" w:rsidRPr="000E2DA1" w14:paraId="43DB134E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BC161B" w14:textId="0B0184B3" w:rsidR="00E100F8" w:rsidRPr="00EC2B6A" w:rsidRDefault="00E100F8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lastRenderedPageBreak/>
              <w:t>Consorzi ex art. 2602 c.c. non aventi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attività</w:t>
            </w:r>
            <w:r w:rsidRPr="00EC2B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esterna</w:t>
            </w:r>
            <w:r w:rsidRPr="00EC2B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per</w:t>
            </w:r>
            <w:r w:rsidRPr="00EC2B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gruppi</w:t>
            </w:r>
            <w:r w:rsidRPr="00EC2B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europei</w:t>
            </w:r>
            <w:r w:rsidRPr="00EC2B6A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di</w:t>
            </w:r>
            <w:r w:rsidRPr="00EC2B6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interesse</w:t>
            </w:r>
            <w:r w:rsidRPr="00EC2B6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economico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4C87B1" w14:textId="77777777" w:rsidR="00E100F8" w:rsidRPr="00EC2B6A" w:rsidRDefault="00E100F8" w:rsidP="00E100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legale rappresentante</w:t>
            </w:r>
          </w:p>
          <w:p w14:paraId="16FE61C7" w14:textId="77777777" w:rsidR="00E100F8" w:rsidRPr="00EC2B6A" w:rsidRDefault="00E100F8" w:rsidP="00E100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eventuali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componenti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dell’organo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amministrazione</w:t>
            </w:r>
          </w:p>
          <w:p w14:paraId="37F9C5EB" w14:textId="77777777" w:rsidR="00E100F8" w:rsidRPr="00EC2B6A" w:rsidRDefault="00E100F8" w:rsidP="00E100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042A8BCF" w14:textId="77777777" w:rsidR="00E100F8" w:rsidRPr="00EC2B6A" w:rsidRDefault="00E100F8" w:rsidP="00E100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imprenditori e società consorziate (e relativi legale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rappresentante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ed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eventuali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componenti dell’organo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amministrazione)</w:t>
            </w:r>
          </w:p>
          <w:p w14:paraId="59A902BE" w14:textId="26F9A49F" w:rsidR="00E100F8" w:rsidRPr="00EC2B6A" w:rsidRDefault="00E100F8" w:rsidP="00E100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 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1,2,3,4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100F8" w:rsidRPr="000E2DA1" w14:paraId="3A29A38F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4B155A" w14:textId="1A1CEA2E" w:rsidR="00E100F8" w:rsidRPr="00EC2B6A" w:rsidRDefault="00E100F8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Raggruppamenti temporanei di</w:t>
            </w:r>
            <w:r w:rsidRPr="00EC2B6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imprese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50AB32" w14:textId="77777777" w:rsidR="00E100F8" w:rsidRPr="00EC2B6A" w:rsidRDefault="00E100F8" w:rsidP="00E100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tutte le imprese costituenti il Raggruppamento anche se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aventi sede all’ estero, nonché le persone fisiche presenti al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loro interno, come individuate per ciascuna tipologia di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imprese 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società</w:t>
            </w:r>
          </w:p>
          <w:p w14:paraId="4BC477C1" w14:textId="77777777" w:rsidR="00E100F8" w:rsidRPr="00EC2B6A" w:rsidRDefault="00E100F8" w:rsidP="00E100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direttore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tecnico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previsto)</w:t>
            </w:r>
          </w:p>
          <w:p w14:paraId="247F13DC" w14:textId="2AE054B9" w:rsidR="00E100F8" w:rsidRPr="00EC2B6A" w:rsidRDefault="00E100F8" w:rsidP="00E100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membri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collegio</w:t>
            </w:r>
            <w:r w:rsidRPr="00EC2B6A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sindacale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(se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previsti) familiari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conviventi</w:t>
            </w:r>
            <w:r w:rsidRPr="00EC2B6A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soggetti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punti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1,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2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100F8" w:rsidRPr="000E2DA1" w14:paraId="68293F02" w14:textId="77777777" w:rsidTr="00EC2B6A">
        <w:trPr>
          <w:trHeight w:val="20"/>
          <w:jc w:val="center"/>
        </w:trPr>
        <w:tc>
          <w:tcPr>
            <w:tcW w:w="37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28606" w14:textId="10CA78A7" w:rsidR="00E100F8" w:rsidRPr="00EC2B6A" w:rsidRDefault="00E100F8" w:rsidP="00EC2B6A">
            <w:pPr>
              <w:pStyle w:val="TableParagraph"/>
              <w:ind w:left="170" w:right="170" w:firstLine="0"/>
              <w:jc w:val="both"/>
              <w:rPr>
                <w:rFonts w:ascii="Times New Roman" w:hAnsi="Times New Roman" w:cs="Times New Roman"/>
                <w:b/>
              </w:rPr>
            </w:pPr>
            <w:r w:rsidRPr="00EC2B6A">
              <w:rPr>
                <w:rFonts w:ascii="Times New Roman" w:hAnsi="Times New Roman" w:cs="Times New Roman"/>
                <w:b/>
              </w:rPr>
              <w:t>Per le società di capitali anche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consortili, per le società cooperative di</w:t>
            </w:r>
            <w:r w:rsidRPr="00EC2B6A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consorzi cooperativi, per i consorzi con</w:t>
            </w:r>
            <w:r w:rsidRPr="00EC2B6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attività esterna e per le società di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capitali con un numero di soci pari o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>inferiore a quattro (vedi lettera c del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</w:rPr>
              <w:t xml:space="preserve">comma 2 art. 85) </w:t>
            </w:r>
            <w:r w:rsidRPr="00EC2B6A">
              <w:rPr>
                <w:rFonts w:ascii="Times New Roman" w:hAnsi="Times New Roman" w:cs="Times New Roman"/>
                <w:b/>
                <w:u w:val="single"/>
              </w:rPr>
              <w:t>concessionarie nel</w:t>
            </w:r>
            <w:r w:rsidRPr="00EC2B6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  <w:u w:val="single"/>
              </w:rPr>
              <w:t>settore</w:t>
            </w:r>
            <w:r w:rsidRPr="00EC2B6A">
              <w:rPr>
                <w:rFonts w:ascii="Times New Roman" w:hAnsi="Times New Roman" w:cs="Times New Roman"/>
                <w:b/>
                <w:spacing w:val="-2"/>
                <w:u w:val="single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  <w:u w:val="single"/>
              </w:rPr>
              <w:t>dei</w:t>
            </w:r>
            <w:r w:rsidRPr="00EC2B6A">
              <w:rPr>
                <w:rFonts w:ascii="Times New Roman" w:hAnsi="Times New Roman" w:cs="Times New Roman"/>
                <w:b/>
                <w:spacing w:val="-2"/>
                <w:u w:val="single"/>
              </w:rPr>
              <w:t xml:space="preserve"> </w:t>
            </w:r>
            <w:r w:rsidRPr="00EC2B6A">
              <w:rPr>
                <w:rFonts w:ascii="Times New Roman" w:hAnsi="Times New Roman" w:cs="Times New Roman"/>
                <w:b/>
                <w:u w:val="single"/>
              </w:rPr>
              <w:t>giochi pubblici</w:t>
            </w:r>
          </w:p>
        </w:tc>
        <w:tc>
          <w:tcPr>
            <w:tcW w:w="6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CC8578" w14:textId="689D7EF0" w:rsidR="00EC2B6A" w:rsidRPr="00EC2B6A" w:rsidRDefault="00E100F8" w:rsidP="00EC2B6A">
            <w:pPr>
              <w:pStyle w:val="TableParagraph"/>
              <w:ind w:left="108" w:right="139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C2B6A">
              <w:rPr>
                <w:rFonts w:ascii="Times New Roman" w:hAnsi="Times New Roman" w:cs="Times New Roman"/>
                <w:bCs/>
              </w:rPr>
              <w:t>Oltre ai controlli previsti per le società di capitali anche consortili,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per le società cooperative di consorzi cooperativi, per i consorzi con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attività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esterna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per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le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società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capitali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un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numero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soci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pari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o inferiore a quattro, la documentazione antimafia deve riferirsi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anche ai soci e alle persone fisiche che detengono, anche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indirettamente, una partecipazione al capitale o al patrimonio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superiore al 2 per cento, nonché ai direttori generali e ai soggetti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responsabili delle sedi secondarie o delle stabili organizzazioni in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Italia di soggetti non residenti. Nell'ipotesi in cui i soci persone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fisiche detengano la partecipazione superiore alla predetta soglia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mediante altre società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 capitali, la documentazione deve riferirsi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anche al legale rappresentante e agli eventuali componenti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dell'organo di amministrazione della società socia, alle persone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fisiche che, direttamente o indirettamente, controllano tale società,</w:t>
            </w:r>
            <w:r w:rsidRPr="00EC2B6A">
              <w:rPr>
                <w:rFonts w:ascii="Times New Roman" w:hAnsi="Times New Roman" w:cs="Times New Roman"/>
                <w:bCs/>
                <w:spacing w:val="-47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nonché ai direttori generali e ai soggetti responsabili delle sedi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secondarie o delle stabili organizzazioni in Italia di soggetti non</w:t>
            </w:r>
            <w:r w:rsidRPr="00EC2B6A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residenti.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La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documentazione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di cui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al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periodo</w:t>
            </w:r>
            <w:r w:rsidRPr="00EC2B6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precedente</w:t>
            </w:r>
            <w:r w:rsidRPr="00EC2B6A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deve riferirsi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anche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al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coniuge</w:t>
            </w:r>
            <w:r w:rsidRPr="00EC2B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non</w:t>
            </w:r>
            <w:r w:rsidRPr="00EC2B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EC2B6A">
              <w:rPr>
                <w:rFonts w:ascii="Times New Roman" w:hAnsi="Times New Roman" w:cs="Times New Roman"/>
                <w:bCs/>
              </w:rPr>
              <w:t>separato.</w:t>
            </w:r>
          </w:p>
        </w:tc>
      </w:tr>
    </w:tbl>
    <w:p w14:paraId="66155F8A" w14:textId="35FDC242" w:rsidR="00002B88" w:rsidRPr="00EC2B6A" w:rsidRDefault="00002B88" w:rsidP="00EC2B6A">
      <w:pPr>
        <w:pStyle w:val="Corpotesto"/>
        <w:spacing w:before="6"/>
        <w:rPr>
          <w:rFonts w:ascii="Times New Roman" w:hAnsi="Times New Roman" w:cs="Times New Roman"/>
          <w:sz w:val="4"/>
          <w:szCs w:val="4"/>
        </w:rPr>
      </w:pPr>
    </w:p>
    <w:sectPr w:rsidR="00002B88" w:rsidRPr="00EC2B6A" w:rsidSect="00EC2B6A">
      <w:headerReference w:type="default" r:id="rId7"/>
      <w:footerReference w:type="default" r:id="rId8"/>
      <w:pgSz w:w="11910" w:h="16840"/>
      <w:pgMar w:top="1134" w:right="1134" w:bottom="1134" w:left="1134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6C71" w14:textId="77777777" w:rsidR="00DE2C67" w:rsidRDefault="00DE2C67">
      <w:r>
        <w:separator/>
      </w:r>
    </w:p>
  </w:endnote>
  <w:endnote w:type="continuationSeparator" w:id="0">
    <w:p w14:paraId="30468014" w14:textId="77777777" w:rsidR="00DE2C67" w:rsidRDefault="00DE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79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34E09FCC" w14:textId="77777777" w:rsidR="00E100F8" w:rsidRPr="00E100F8" w:rsidRDefault="00E100F8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C88D9" w14:textId="77777777" w:rsidR="00EC2B6A" w:rsidRPr="003E3445" w:rsidRDefault="00E100F8" w:rsidP="00E100F8">
            <w:pPr>
              <w:pStyle w:val="Pidipagina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3445">
              <w:rPr>
                <w:rFonts w:ascii="Times New Roman" w:hAnsi="Times New Roman" w:cs="Times New Roman"/>
                <w:sz w:val="24"/>
                <w:szCs w:val="20"/>
              </w:rPr>
              <w:t xml:space="preserve">Pagina </w:t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fldChar w:fldCharType="begin"/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instrText>PAGE</w:instrText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E3445">
              <w:rPr>
                <w:rFonts w:ascii="Times New Roman" w:hAnsi="Times New Roman" w:cs="Times New Roman"/>
                <w:noProof/>
                <w:sz w:val="24"/>
                <w:szCs w:val="20"/>
              </w:rPr>
              <w:t>2</w:t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t xml:space="preserve"> di </w:t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fldChar w:fldCharType="begin"/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instrText>NUMPAGES</w:instrText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E3445">
              <w:rPr>
                <w:rFonts w:ascii="Times New Roman" w:hAnsi="Times New Roman" w:cs="Times New Roman"/>
                <w:noProof/>
                <w:sz w:val="24"/>
                <w:szCs w:val="20"/>
              </w:rPr>
              <w:t>2</w:t>
            </w:r>
            <w:r w:rsidRPr="003E344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  <w:p w14:paraId="11D6AFFD" w14:textId="77777777" w:rsidR="00EC2B6A" w:rsidRDefault="00EC2B6A" w:rsidP="00E100F8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B343" w14:textId="362A5A4B" w:rsidR="00E100F8" w:rsidRPr="00E100F8" w:rsidRDefault="003E3445" w:rsidP="00E100F8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2680" w14:textId="77777777" w:rsidR="00DE2C67" w:rsidRDefault="00DE2C67">
      <w:r>
        <w:separator/>
      </w:r>
    </w:p>
  </w:footnote>
  <w:footnote w:type="continuationSeparator" w:id="0">
    <w:p w14:paraId="6DA83AD8" w14:textId="77777777" w:rsidR="00DE2C67" w:rsidRDefault="00DE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EAEE" w14:textId="41BC819A" w:rsidR="00EB3F1B" w:rsidRPr="003E3445" w:rsidRDefault="00EB3F1B" w:rsidP="00EB3F1B">
    <w:pPr>
      <w:pStyle w:val="Intestazione"/>
      <w:jc w:val="right"/>
      <w:rPr>
        <w:rFonts w:ascii="Times New Roman" w:hAnsi="Times New Roman" w:cs="Times New Roman"/>
        <w:bCs/>
        <w:sz w:val="24"/>
        <w:szCs w:val="40"/>
      </w:rPr>
    </w:pPr>
    <w:r w:rsidRPr="003E3445">
      <w:rPr>
        <w:rFonts w:ascii="Times New Roman" w:hAnsi="Times New Roman" w:cs="Times New Roman"/>
        <w:bCs/>
        <w:sz w:val="24"/>
        <w:szCs w:val="40"/>
      </w:rPr>
      <w:t>Allegato 9</w:t>
    </w:r>
    <w:r w:rsidR="003E3445">
      <w:rPr>
        <w:rFonts w:ascii="Times New Roman" w:hAnsi="Times New Roman" w:cs="Times New Roman"/>
        <w:bCs/>
        <w:sz w:val="24"/>
        <w:szCs w:val="40"/>
      </w:rPr>
      <w:t xml:space="preserve"> all’ordinanza n. 11/2023</w:t>
    </w:r>
  </w:p>
  <w:p w14:paraId="4A1379CA" w14:textId="77777777" w:rsidR="00EB3F1B" w:rsidRDefault="00EB3F1B" w:rsidP="00EB3F1B">
    <w:pPr>
      <w:pStyle w:val="Intestazione"/>
      <w:jc w:val="right"/>
      <w:rPr>
        <w:rFonts w:ascii="Times New Roman" w:hAnsi="Times New Roman" w:cs="Times New Roman"/>
        <w:b/>
        <w:bCs/>
        <w:sz w:val="40"/>
        <w:szCs w:val="40"/>
      </w:rPr>
    </w:pPr>
  </w:p>
  <w:p w14:paraId="5CE0B0E4" w14:textId="5A43492A" w:rsidR="00002B88" w:rsidRDefault="000E2DA1" w:rsidP="000E2DA1">
    <w:pPr>
      <w:pStyle w:val="Intestazione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0E2DA1">
      <w:rPr>
        <w:rFonts w:ascii="Times New Roman" w:hAnsi="Times New Roman" w:cs="Times New Roman"/>
        <w:b/>
        <w:bCs/>
        <w:sz w:val="40"/>
        <w:szCs w:val="40"/>
      </w:rPr>
      <w:t>Schema controlli antimafia familiari conviventi</w:t>
    </w:r>
  </w:p>
  <w:p w14:paraId="5A0A7E99" w14:textId="41595180" w:rsidR="00EC2B6A" w:rsidRPr="000E2DA1" w:rsidRDefault="00EC2B6A" w:rsidP="000E2DA1">
    <w:pPr>
      <w:pStyle w:val="Intestazione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Cs/>
      </w:rPr>
      <w:t>(</w:t>
    </w:r>
    <w:r w:rsidRPr="00EC2B6A">
      <w:rPr>
        <w:rFonts w:ascii="Times New Roman" w:hAnsi="Times New Roman" w:cs="Times New Roman"/>
        <w:bCs/>
      </w:rPr>
      <w:t>Articolo</w:t>
    </w:r>
    <w:r w:rsidRPr="00EC2B6A">
      <w:rPr>
        <w:rFonts w:ascii="Times New Roman" w:hAnsi="Times New Roman" w:cs="Times New Roman"/>
        <w:bCs/>
        <w:spacing w:val="-1"/>
      </w:rPr>
      <w:t xml:space="preserve"> </w:t>
    </w:r>
    <w:r w:rsidRPr="00EC2B6A">
      <w:rPr>
        <w:rFonts w:ascii="Times New Roman" w:hAnsi="Times New Roman" w:cs="Times New Roman"/>
        <w:bCs/>
      </w:rPr>
      <w:t>85</w:t>
    </w:r>
    <w:r w:rsidRPr="00EC2B6A">
      <w:rPr>
        <w:rFonts w:ascii="Times New Roman" w:hAnsi="Times New Roman" w:cs="Times New Roman"/>
        <w:bCs/>
        <w:spacing w:val="-2"/>
      </w:rPr>
      <w:t xml:space="preserve"> </w:t>
    </w:r>
    <w:r w:rsidRPr="00EC2B6A">
      <w:rPr>
        <w:rFonts w:ascii="Times New Roman" w:hAnsi="Times New Roman" w:cs="Times New Roman"/>
        <w:bCs/>
      </w:rPr>
      <w:t>del</w:t>
    </w:r>
    <w:r w:rsidRPr="00EC2B6A">
      <w:rPr>
        <w:rFonts w:ascii="Times New Roman" w:hAnsi="Times New Roman" w:cs="Times New Roman"/>
        <w:bCs/>
        <w:spacing w:val="-3"/>
      </w:rPr>
      <w:t xml:space="preserve"> </w:t>
    </w:r>
    <w:r w:rsidRPr="00EC2B6A">
      <w:rPr>
        <w:rFonts w:ascii="Times New Roman" w:hAnsi="Times New Roman" w:cs="Times New Roman"/>
        <w:bCs/>
      </w:rPr>
      <w:t>decreto legislativo 6 settembre 2011, n. 159</w:t>
    </w:r>
    <w:r>
      <w:rPr>
        <w:rFonts w:ascii="Times New Roman" w:hAnsi="Times New Roman" w:cs="Times New Roman"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935"/>
    <w:multiLevelType w:val="hybridMultilevel"/>
    <w:tmpl w:val="792CF20C"/>
    <w:lvl w:ilvl="0" w:tplc="3C7E1242">
      <w:start w:val="1"/>
      <w:numFmt w:val="decimal"/>
      <w:lvlText w:val="%1."/>
      <w:lvlJc w:val="left"/>
      <w:pPr>
        <w:ind w:left="849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9432B7F0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0068CD52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421A32EA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8A86A836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5" w:tplc="A186022E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DBD61B1C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4CF0E9CC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8" w:tplc="B5D2BB2C">
      <w:numFmt w:val="bullet"/>
      <w:lvlText w:val="•"/>
      <w:lvlJc w:val="left"/>
      <w:pPr>
        <w:ind w:left="53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131B64"/>
    <w:multiLevelType w:val="hybridMultilevel"/>
    <w:tmpl w:val="F98618FE"/>
    <w:lvl w:ilvl="0" w:tplc="1D4894EC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96329F80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9B824E1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0ABADEB0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80B2A1E2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C2CA5018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431AC046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DC1E2D98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8A2AD7E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5C363B"/>
    <w:multiLevelType w:val="hybridMultilevel"/>
    <w:tmpl w:val="4E523130"/>
    <w:lvl w:ilvl="0" w:tplc="66E25214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2394563C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D4C88CE4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A94AEAE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F7CAA80E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92F2E1FA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E580EEC0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FCFC0448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9BACC3E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C804566"/>
    <w:multiLevelType w:val="hybridMultilevel"/>
    <w:tmpl w:val="2EBEB044"/>
    <w:lvl w:ilvl="0" w:tplc="B60C7E3A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18283464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3A64640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C82A8FD4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54A4761A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43BAA7B0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9DD6AF5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B526FF50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33F0D0A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954DCD"/>
    <w:multiLevelType w:val="hybridMultilevel"/>
    <w:tmpl w:val="EFDED79A"/>
    <w:lvl w:ilvl="0" w:tplc="DA186D9A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20BE72E8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BA8615AA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8B12C430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F2FAEDA2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E83CE0C2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280A95A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4594BAAA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A5680FD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EB60EDF"/>
    <w:multiLevelType w:val="hybridMultilevel"/>
    <w:tmpl w:val="98A4375C"/>
    <w:lvl w:ilvl="0" w:tplc="1A60546E">
      <w:start w:val="1"/>
      <w:numFmt w:val="decimal"/>
      <w:lvlText w:val="%1."/>
      <w:lvlJc w:val="left"/>
      <w:pPr>
        <w:ind w:left="828" w:hanging="360"/>
      </w:pPr>
      <w:rPr>
        <w:rFonts w:ascii="Times New Roman" w:eastAsia="Calibri" w:hAnsi="Times New Roman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3BEEA402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9100194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F1249CFE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53240D56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E51278E4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200237D6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797031CC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CBE0FC1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DAB6400"/>
    <w:multiLevelType w:val="hybridMultilevel"/>
    <w:tmpl w:val="43B04C3C"/>
    <w:lvl w:ilvl="0" w:tplc="1B060B80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6AAA7AAE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D8ACE622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269697DE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CE9250E0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FC0AB396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F28CA96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676644BA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FCBAF80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3022AB3"/>
    <w:multiLevelType w:val="hybridMultilevel"/>
    <w:tmpl w:val="A456FD16"/>
    <w:lvl w:ilvl="0" w:tplc="E298A296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D0166EB6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C2D85B42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58564F14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093C9A26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2E7CCDCA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6896BAB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B002E5E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E92E37F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4480737"/>
    <w:multiLevelType w:val="hybridMultilevel"/>
    <w:tmpl w:val="1C6A9514"/>
    <w:lvl w:ilvl="0" w:tplc="AB3A4F36">
      <w:start w:val="1"/>
      <w:numFmt w:val="decimal"/>
      <w:lvlText w:val="%1."/>
      <w:lvlJc w:val="left"/>
      <w:pPr>
        <w:ind w:left="828" w:hanging="360"/>
      </w:pPr>
      <w:rPr>
        <w:rFonts w:ascii="Times New Roman" w:eastAsia="Calibri" w:hAnsi="Times New Roman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FFCA7138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09C88F6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893C503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4EE87D88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4712D04A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656EAB72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C896CD9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64C6661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1232561"/>
    <w:multiLevelType w:val="hybridMultilevel"/>
    <w:tmpl w:val="BDACFB3C"/>
    <w:lvl w:ilvl="0" w:tplc="DE0CEC0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bCs w:val="0"/>
        <w:w w:val="100"/>
        <w:lang w:val="it-IT" w:eastAsia="en-US" w:bidi="ar-SA"/>
      </w:rPr>
    </w:lvl>
    <w:lvl w:ilvl="1" w:tplc="F432A462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B166218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80247BD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4BBE0588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A4642AD4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7E564682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36F84FBA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2BC8EC2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F7A52D0"/>
    <w:multiLevelType w:val="hybridMultilevel"/>
    <w:tmpl w:val="5F083674"/>
    <w:lvl w:ilvl="0" w:tplc="769E108A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E4D2E24C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12E07A0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AFA4BAC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7C424ED6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F89E72A8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0432615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6A98D680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92BA8F9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2B88"/>
    <w:rsid w:val="00002B88"/>
    <w:rsid w:val="000E2DA1"/>
    <w:rsid w:val="003E3445"/>
    <w:rsid w:val="005D19E3"/>
    <w:rsid w:val="005F2733"/>
    <w:rsid w:val="00DE2C67"/>
    <w:rsid w:val="00E100F8"/>
    <w:rsid w:val="00EB3F1B"/>
    <w:rsid w:val="00E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0FAC9"/>
  <w15:docId w15:val="{3C337417-D68A-4F95-8E69-419678F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"/>
      <w:ind w:left="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8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E2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A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2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A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69D61171B4E429309CEAE286452F7" ma:contentTypeVersion="10" ma:contentTypeDescription="Create a new document." ma:contentTypeScope="" ma:versionID="90d8d4c1e77b86e96a5b6a258d4b70b7">
  <xsd:schema xmlns:xsd="http://www.w3.org/2001/XMLSchema" xmlns:xs="http://www.w3.org/2001/XMLSchema" xmlns:p="http://schemas.microsoft.com/office/2006/metadata/properties" xmlns:ns2="b349a239-710a-4cff-9355-1de0eb48dde4" xmlns:ns3="11fc23c4-b423-40f3-ad22-d92b1e17a628" targetNamespace="http://schemas.microsoft.com/office/2006/metadata/properties" ma:root="true" ma:fieldsID="056ecbff301380706ab3b670a617fbb9" ns2:_="" ns3:_="">
    <xsd:import namespace="b349a239-710a-4cff-9355-1de0eb48dde4"/>
    <xsd:import namespace="11fc23c4-b423-40f3-ad22-d92b1e17a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a239-710a-4cff-9355-1de0eb48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23c4-b423-40f3-ad22-d92b1e17a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A68E5-A8FD-43CA-92E5-0396FFAA65B2}"/>
</file>

<file path=customXml/itemProps2.xml><?xml version="1.0" encoding="utf-8"?>
<ds:datastoreItem xmlns:ds="http://schemas.openxmlformats.org/officeDocument/2006/customXml" ds:itemID="{8617F741-934E-40AF-A993-258C84213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Mitola Petruzzelli</dc:creator>
  <cp:lastModifiedBy>Facecchia, Ten.Col. Damiano - COI</cp:lastModifiedBy>
  <cp:revision>6</cp:revision>
  <cp:lastPrinted>2023-12-04T13:58:00Z</cp:lastPrinted>
  <dcterms:created xsi:type="dcterms:W3CDTF">2023-11-14T09:04:00Z</dcterms:created>
  <dcterms:modified xsi:type="dcterms:W3CDTF">2023-12-04T13:58:00Z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2023-11-14T00:00:00Z</vt:filetime>
  </property>
</Properties>
</file>